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hd w:val="clear" w:color="auto" w:fill="auto"/>
        <w:spacing w:line="580" w:lineRule="exact"/>
        <w:jc w:val="center"/>
        <w:rPr>
          <w:rFonts w:ascii="方正小标宋_GBK" w:eastAsia="方正小标宋_GBK" w:cs="方正小标宋_GBK"/>
          <w:sz w:val="44"/>
          <w:szCs w:val="44"/>
          <w:lang w:bidi="ar-SA"/>
        </w:rPr>
      </w:pPr>
      <w:bookmarkStart w:id="0" w:name="_Hlk25540369"/>
      <w:bookmarkStart w:id="1" w:name="cogw__正文__file"/>
      <w:r>
        <w:rPr>
          <w:rFonts w:ascii="方正小标宋_GBK" w:eastAsia="方正小标宋_GBK" w:cs="方正小标宋_GBK" w:hint="eastAsia"/>
          <w:sz w:val="44"/>
          <w:szCs w:val="44"/>
          <w:lang w:bidi="ar-SA"/>
        </w:rPr>
        <w:t>广州车站海关2024年政府信息公开工作</w:t>
      </w:r>
    </w:p>
    <w:p>
      <w:pPr>
        <w:pStyle w:val="39"/>
        <w:shd w:val="clear" w:color="auto" w:fill="auto"/>
        <w:spacing w:line="580" w:lineRule="exact"/>
        <w:jc w:val="center"/>
        <w:rPr>
          <w:rFonts w:ascii="方正小标宋_GBK" w:eastAsia="方正小标宋_GBK" w:cs="方正小标宋_GBK" w:hint="eastAsia"/>
          <w:sz w:val="44"/>
          <w:szCs w:val="44"/>
          <w:shd w:val="clear" w:color="auto" w:fill="auto"/>
          <w:lang w:bidi="ar-SA"/>
        </w:rPr>
      </w:pPr>
      <w:r>
        <w:rPr>
          <w:rFonts w:ascii="方正小标宋_GBK" w:eastAsia="方正小标宋_GBK" w:cs="方正小标宋_GBK" w:hint="eastAsia"/>
          <w:sz w:val="44"/>
          <w:szCs w:val="44"/>
          <w:shd w:val="clear" w:color="auto" w:fill="auto"/>
          <w:lang w:bidi="ar-SA"/>
        </w:rPr>
        <w:t>年度报告</w:t>
      </w:r>
      <w:bookmarkEnd w:id="0"/>
    </w:p>
    <w:p>
      <w:pPr>
        <w:pStyle w:val="39"/>
        <w:shd w:val="clear" w:color="auto" w:fill="auto"/>
        <w:spacing w:line="580" w:lineRule="exact"/>
        <w:jc w:val="center"/>
        <w:rPr>
          <w:rFonts w:eastAsia="方正小标宋_GBK" w:cs="方正小标宋_GBK" w:hint="eastAsia"/>
          <w:sz w:val="44"/>
          <w:szCs w:val="44"/>
          <w:shd w:val="clear" w:color="auto" w:fill="auto"/>
          <w:lang w:bidi="ar-SA"/>
        </w:rPr>
      </w:pPr>
    </w:p>
    <w:p>
      <w:pPr>
        <w:pStyle w:val="69"/>
        <w:shd w:val="clear" w:color="auto" w:fill="auto"/>
        <w:spacing w:line="560" w:lineRule="exact"/>
        <w:ind w:firstLineChars="200" w:firstLine="640"/>
        <w:jc w:val="both"/>
        <w:rPr>
          <w:rFonts w:ascii="Times New Roman" w:eastAsia="方正仿宋_GBK" w:cs="方正仿宋_GBK" w:hAnsi="Times New Roman" w:hint="eastAsia"/>
          <w:sz w:val="32"/>
          <w:szCs w:val="32"/>
          <w:shd w:val="clear" w:color="auto" w:fill="auto"/>
          <w:lang w:bidi="ar-SA"/>
        </w:rPr>
      </w:pPr>
      <w:r>
        <w:rPr>
          <w:rFonts w:ascii="Times New Roman" w:eastAsia="方正仿宋_GBK" w:cs="方正仿宋_GBK" w:hAnsi="Times New Roman" w:hint="eastAsia"/>
          <w:sz w:val="32"/>
          <w:szCs w:val="32"/>
          <w:shd w:val="clear" w:color="auto" w:fill="auto"/>
          <w:lang w:bidi="ar-SA"/>
        </w:rPr>
        <w:t>根据《中华人民共和国政府信息公开条例》</w:t>
      </w:r>
      <w:r>
        <w:rPr>
          <w:rFonts w:ascii="Times New Roman" w:eastAsia="方正仿宋_GBK" w:cs="方正仿宋_GBK" w:hAnsi="Times New Roman" w:hint="eastAsia"/>
          <w:color w:val="000000"/>
          <w:spacing w:val="-4"/>
          <w:kern w:val="0"/>
          <w:sz w:val="32"/>
          <w:szCs w:val="32"/>
          <w:shd w:val="clear" w:color="auto" w:fill="auto"/>
          <w:lang w:bidi="ar-SA"/>
        </w:rPr>
        <w:t>《国务院办公厅政府信息与政务公开办公室关于政府信息公开工作年度报告有关事项的通知》《国务院办公厅政府信息与政务公开办公室关于印发〈中华人民共和国政府信息公开工作年度报告格式〉的通知》等</w:t>
      </w:r>
      <w:r>
        <w:rPr>
          <w:rFonts w:ascii="Times New Roman" w:eastAsia="方正仿宋_GBK" w:cs="方正仿宋_GBK" w:hAnsi="Times New Roman" w:hint="eastAsia"/>
          <w:sz w:val="32"/>
          <w:szCs w:val="32"/>
          <w:shd w:val="clear" w:color="auto" w:fill="auto"/>
          <w:lang w:bidi="ar-SA"/>
        </w:rPr>
        <w:t>规定，梳理编制广州车站海关202</w:t>
      </w:r>
      <w:r>
        <w:rPr>
          <w:rFonts w:ascii="Times New Roman" w:eastAsia="方正仿宋_GBK" w:cs="方正仿宋_GBK" w:hAnsi="Times New Roman"/>
          <w:sz w:val="32"/>
          <w:szCs w:val="32"/>
          <w:shd w:val="clear" w:color="auto" w:fill="auto"/>
          <w:lang w:bidi="ar-SA"/>
        </w:rPr>
        <w:t>4</w:t>
      </w:r>
      <w:r>
        <w:rPr>
          <w:rFonts w:ascii="Times New Roman" w:eastAsia="方正仿宋_GBK" w:cs="方正仿宋_GBK" w:hAnsi="Times New Roman" w:hint="eastAsia"/>
          <w:sz w:val="32"/>
          <w:szCs w:val="32"/>
          <w:shd w:val="clear" w:color="auto" w:fill="auto"/>
          <w:lang w:bidi="ar-SA"/>
        </w:rPr>
        <w:t>年政府信息公开工作年报，年报中所列数据的统计期限，自202</w:t>
      </w:r>
      <w:r>
        <w:rPr>
          <w:rFonts w:ascii="Times New Roman" w:eastAsia="方正仿宋_GBK" w:cs="方正仿宋_GBK" w:hAnsi="Times New Roman"/>
          <w:sz w:val="32"/>
          <w:szCs w:val="32"/>
          <w:shd w:val="clear" w:color="auto" w:fill="auto"/>
          <w:lang w:bidi="ar-SA"/>
        </w:rPr>
        <w:t>4</w:t>
      </w:r>
      <w:r>
        <w:rPr>
          <w:rFonts w:ascii="Times New Roman" w:eastAsia="方正仿宋_GBK" w:cs="方正仿宋_GBK" w:hAnsi="Times New Roman" w:hint="eastAsia"/>
          <w:sz w:val="32"/>
          <w:szCs w:val="32"/>
          <w:shd w:val="clear" w:color="auto" w:fill="auto"/>
          <w:lang w:bidi="ar-SA"/>
        </w:rPr>
        <w:t>年1月1日起至202</w:t>
      </w:r>
      <w:r>
        <w:rPr>
          <w:rFonts w:ascii="Times New Roman" w:eastAsia="方正仿宋_GBK" w:cs="方正仿宋_GBK" w:hAnsi="Times New Roman"/>
          <w:sz w:val="32"/>
          <w:szCs w:val="32"/>
          <w:shd w:val="clear" w:color="auto" w:fill="auto"/>
          <w:lang w:bidi="ar-SA"/>
        </w:rPr>
        <w:t>4</w:t>
      </w:r>
      <w:r>
        <w:rPr>
          <w:rFonts w:ascii="Times New Roman" w:eastAsia="方正仿宋_GBK" w:cs="方正仿宋_GBK" w:hAnsi="Times New Roman" w:hint="eastAsia"/>
          <w:sz w:val="32"/>
          <w:szCs w:val="32"/>
          <w:shd w:val="clear" w:color="auto" w:fill="auto"/>
          <w:lang w:bidi="ar-SA"/>
        </w:rPr>
        <w:t>年12月31日止。如对本年报有疑问或有任何意见、建议，请联系广州车站海关办公室。地址：广东省广州市天河区东站路1号广州东站5楼行政办公区，邮编：510610；电话：020-38774006；电子邮箱：czhg@customs.gov.cn。</w:t>
      </w:r>
    </w:p>
    <w:p>
      <w:pPr>
        <w:pStyle w:val="25"/>
        <w:widowControl/>
        <w:shd w:val="clear" w:color="auto" w:fill="auto"/>
        <w:adjustRightInd w:val="0"/>
        <w:snapToGrid w:val="0"/>
        <w:spacing w:beforeAutospacing="0" w:afterAutospacing="0" w:line="560" w:lineRule="exact"/>
        <w:ind w:firstLineChars="200" w:firstLine="640"/>
        <w:jc w:val="both"/>
        <w:rPr>
          <w:rFonts w:eastAsia="方正黑体_GBK" w:cs="楷体_GB2312" w:hint="eastAsia"/>
          <w:bCs/>
          <w:sz w:val="32"/>
          <w:szCs w:val="32"/>
          <w:shd w:val="clear" w:color="auto" w:fill="auto"/>
          <w:lang w:bidi="ar-SA"/>
        </w:rPr>
      </w:pPr>
      <w:r>
        <w:rPr>
          <w:rFonts w:eastAsia="方正黑体_GBK" w:cs="楷体_GB2312" w:hint="eastAsia"/>
          <w:bCs/>
          <w:sz w:val="32"/>
          <w:szCs w:val="32"/>
          <w:shd w:val="clear" w:color="auto" w:fill="auto"/>
          <w:lang w:bidi="ar-SA"/>
        </w:rPr>
        <w:t>一、总体情况</w:t>
      </w:r>
    </w:p>
    <w:p>
      <w:pPr>
        <w:pStyle w:val="33"/>
        <w:shd w:val="clear" w:color="auto" w:fill="auto"/>
        <w:adjustRightInd w:val="0"/>
        <w:snapToGrid w:val="0"/>
        <w:ind w:firstLineChars="200" w:firstLine="640"/>
        <w:rPr>
          <w:rFonts w:cs="Arial" w:hint="eastAsia"/>
          <w:spacing w:val="0"/>
          <w:szCs w:val="32"/>
          <w:shd w:val="clear" w:color="auto" w:fill="auto"/>
          <w:lang w:bidi="ar-SA"/>
        </w:rPr>
      </w:pPr>
      <w:r>
        <w:rPr>
          <w:rFonts w:cs="Arial" w:hint="eastAsia"/>
          <w:spacing w:val="0"/>
          <w:szCs w:val="32"/>
          <w:shd w:val="clear" w:color="auto" w:fill="auto"/>
          <w:lang w:bidi="ar-SA"/>
        </w:rPr>
        <w:t>202</w:t>
      </w:r>
      <w:r>
        <w:rPr>
          <w:rFonts w:cs="Arial"/>
          <w:spacing w:val="0"/>
          <w:szCs w:val="32"/>
          <w:shd w:val="clear" w:color="auto" w:fill="auto"/>
          <w:lang w:bidi="ar-SA"/>
        </w:rPr>
        <w:t>4</w:t>
      </w:r>
      <w:r>
        <w:rPr>
          <w:rFonts w:cs="Arial" w:hint="eastAsia"/>
          <w:spacing w:val="0"/>
          <w:szCs w:val="32"/>
          <w:shd w:val="clear" w:color="auto" w:fill="auto"/>
          <w:lang w:bidi="ar-SA"/>
        </w:rPr>
        <w:t>年，广州车站海关坚持以习近平新时代中国特色社会主义思想为指导，</w:t>
      </w:r>
      <w:r>
        <w:rPr>
          <w:rFonts w:cs="Arial"/>
          <w:spacing w:val="0"/>
          <w:szCs w:val="32"/>
          <w:shd w:val="clear" w:color="auto" w:fill="auto"/>
          <w:lang w:bidi="ar-SA"/>
        </w:rPr>
        <w:t>认真学习贯彻党的二十大和二十届二中、三中全会精神，</w:t>
      </w:r>
      <w:r>
        <w:rPr>
          <w:rFonts w:cs="Arial" w:hint="eastAsia"/>
          <w:spacing w:val="0"/>
          <w:szCs w:val="32"/>
          <w:shd w:val="clear" w:color="auto" w:fill="auto"/>
          <w:lang w:bidi="ar-SA"/>
        </w:rPr>
        <w:t>深入贯彻习近平总书记</w:t>
      </w:r>
      <w:r>
        <w:rPr>
          <w:rFonts w:cs="Arial"/>
          <w:spacing w:val="0"/>
          <w:szCs w:val="32"/>
          <w:shd w:val="clear" w:color="auto" w:fill="auto"/>
          <w:lang w:bidi="ar-SA"/>
        </w:rPr>
        <w:t>重要指示批示和</w:t>
      </w:r>
      <w:r>
        <w:rPr>
          <w:rFonts w:cs="Arial" w:hint="eastAsia"/>
          <w:spacing w:val="0"/>
          <w:szCs w:val="32"/>
          <w:shd w:val="clear" w:color="auto" w:fill="auto"/>
          <w:lang w:bidi="ar-SA"/>
        </w:rPr>
        <w:t>给红其拉甫海关全体关员重要回信精神，严格落实《中华人民共和国政府信息公开条例》等要求，</w:t>
      </w:r>
      <w:r>
        <w:rPr>
          <w:rFonts w:cs="Arial"/>
          <w:spacing w:val="0"/>
          <w:szCs w:val="32"/>
          <w:shd w:val="clear" w:color="auto" w:fill="auto"/>
          <w:lang w:bidi="ar-SA"/>
        </w:rPr>
        <w:t>深入找差距、强能力、抓落实，以推进基层政务公开标准化规范化建设为抓手，不断提升政府信息公开能力和质效，扎实推动各项重点工作落实落地。</w:t>
      </w:r>
      <w:r>
        <w:rPr>
          <w:rFonts w:cs="Arial" w:hint="eastAsia"/>
          <w:spacing w:val="0"/>
          <w:szCs w:val="32"/>
          <w:shd w:val="clear" w:color="auto" w:fill="auto"/>
          <w:lang w:bidi="ar-SA"/>
        </w:rPr>
        <w:t>现将工作情况报告如下：</w:t>
      </w:r>
    </w:p>
    <w:p>
      <w:pPr>
        <w:pStyle w:val="33"/>
        <w:shd w:val="clear" w:color="auto" w:fill="auto"/>
        <w:adjustRightInd w:val="0"/>
        <w:snapToGrid w:val="0"/>
        <w:ind w:firstLineChars="200" w:firstLine="640"/>
        <w:rPr>
          <w:rFonts w:eastAsia="方正楷体_GBK" w:cs="Arial"/>
          <w:b/>
          <w:spacing w:val="0"/>
          <w:szCs w:val="32"/>
          <w:shd w:val="clear" w:color="auto" w:fill="auto"/>
          <w:lang w:bidi="ar-SA"/>
        </w:rPr>
      </w:pPr>
      <w:r>
        <w:rPr>
          <w:rFonts w:eastAsia="方正楷体_GBK" w:cs="Arial" w:hint="eastAsia"/>
          <w:b/>
          <w:spacing w:val="0"/>
          <w:szCs w:val="32"/>
          <w:shd w:val="clear" w:color="auto" w:fill="auto"/>
          <w:lang w:bidi="ar-SA"/>
        </w:rPr>
        <w:t>（一）主动公开情况。</w:t>
      </w:r>
    </w:p>
    <w:p>
      <w:pPr>
        <w:pStyle w:val="33"/>
        <w:shd w:val="clear" w:color="auto" w:fill="auto"/>
        <w:adjustRightInd w:val="0"/>
        <w:snapToGrid w:val="0"/>
        <w:ind w:firstLineChars="200" w:firstLine="640"/>
        <w:rPr>
          <w:rFonts w:eastAsia="方正楷体_GBK" w:cs="Arial" w:hint="eastAsia"/>
          <w:b/>
          <w:spacing w:val="0"/>
          <w:szCs w:val="32"/>
          <w:shd w:val="clear" w:color="auto" w:fill="auto"/>
          <w:lang w:bidi="ar-SA"/>
        </w:rPr>
      </w:pPr>
      <w:r>
        <w:rPr>
          <w:rFonts w:cs="Arial"/>
          <w:spacing w:val="0"/>
          <w:szCs w:val="32"/>
          <w:shd w:val="clear" w:color="auto" w:fill="auto"/>
          <w:lang w:bidi="ar-SA"/>
        </w:rPr>
        <w:t>深化重点领域政府信息公开，及时更新本级海关政务公开标准事项目录、机构职能及业务咨询渠道等信息，年内共通过广州海关门户网站公开政府信息公开年报、财务预决算、行政执法公示等政府信息。紧密对接社会需求，提升信息公开针对性和精准度，依托</w:t>
      </w:r>
      <w:r>
        <w:rPr>
          <w:rFonts w:cs="Arial" w:hint="eastAsia"/>
          <w:spacing w:val="0"/>
          <w:szCs w:val="32"/>
          <w:shd w:val="clear" w:color="auto" w:fill="auto"/>
          <w:lang w:bidi="ar-SA"/>
        </w:rPr>
        <w:t>“关长联系企业”及“海关进企业、海关进社区、海关进校园”——“</w:t>
      </w:r>
      <w:r>
        <w:rPr>
          <w:rFonts w:cs="Arial"/>
          <w:spacing w:val="0"/>
          <w:szCs w:val="32"/>
          <w:shd w:val="clear" w:color="auto" w:fill="auto"/>
          <w:lang w:bidi="ar-SA"/>
        </w:rPr>
        <w:t>三进</w:t>
      </w:r>
      <w:r>
        <w:rPr>
          <w:rFonts w:cs="Arial" w:hint="eastAsia"/>
          <w:spacing w:val="0"/>
          <w:szCs w:val="32"/>
          <w:shd w:val="clear" w:color="auto" w:fill="auto"/>
          <w:lang w:bidi="ar-SA"/>
        </w:rPr>
        <w:t>”品牌</w:t>
      </w:r>
      <w:r>
        <w:rPr>
          <w:rFonts w:cs="Arial"/>
          <w:spacing w:val="0"/>
          <w:szCs w:val="32"/>
          <w:shd w:val="clear" w:color="auto" w:fill="auto"/>
          <w:lang w:bidi="ar-SA"/>
        </w:rPr>
        <w:t>，</w:t>
      </w:r>
      <w:r>
        <w:rPr>
          <w:rFonts w:hint="eastAsia"/>
          <w:shd w:val="clear" w:color="auto" w:fill="auto"/>
        </w:rPr>
        <w:t>围绕</w:t>
      </w:r>
      <w:r>
        <w:rPr>
          <w:shd w:val="clear" w:color="auto" w:fill="auto"/>
        </w:rPr>
        <w:t>广州</w:t>
      </w:r>
      <w:r>
        <w:rPr>
          <w:rFonts w:hint="eastAsia"/>
          <w:shd w:val="clear" w:color="auto" w:fill="auto"/>
        </w:rPr>
        <w:t>中欧班列</w:t>
      </w:r>
      <w:r>
        <w:rPr>
          <w:shd w:val="clear" w:color="auto" w:fill="auto"/>
        </w:rPr>
        <w:t>、国门生物安全等</w:t>
      </w:r>
      <w:r>
        <w:rPr>
          <w:rFonts w:hint="eastAsia"/>
          <w:shd w:val="clear" w:color="auto" w:fill="auto"/>
        </w:rPr>
        <w:t>主题</w:t>
      </w:r>
      <w:r>
        <w:rPr>
          <w:shd w:val="clear" w:color="auto" w:fill="auto"/>
        </w:rPr>
        <w:t>，深入中欧班列</w:t>
      </w:r>
      <w:r>
        <w:rPr>
          <w:rFonts w:hint="eastAsia"/>
          <w:shd w:val="clear" w:color="auto" w:fill="auto"/>
        </w:rPr>
        <w:t>运营平台、场所经营单位</w:t>
      </w:r>
      <w:r>
        <w:rPr>
          <w:shd w:val="clear" w:color="auto" w:fill="auto"/>
        </w:rPr>
        <w:t>、进出口贸易企业、学校</w:t>
      </w:r>
      <w:r>
        <w:rPr>
          <w:rFonts w:hint="eastAsia"/>
          <w:shd w:val="clear" w:color="auto" w:fill="auto"/>
        </w:rPr>
        <w:t>等开展</w:t>
      </w:r>
      <w:r>
        <w:rPr>
          <w:shd w:val="clear" w:color="auto" w:fill="auto"/>
        </w:rPr>
        <w:t>政策宣讲和业务解读58次，累计服务超200家</w:t>
      </w:r>
      <w:r>
        <w:rPr>
          <w:rFonts w:hint="eastAsia"/>
          <w:shd w:val="clear" w:color="auto" w:fill="auto"/>
        </w:rPr>
        <w:t>企业及</w:t>
      </w:r>
      <w:r>
        <w:rPr>
          <w:shd w:val="clear" w:color="auto" w:fill="auto"/>
        </w:rPr>
        <w:t>2000多名师生。</w:t>
      </w:r>
    </w:p>
    <w:p>
      <w:pPr>
        <w:pStyle w:val="33"/>
        <w:shd w:val="clear" w:color="auto" w:fill="auto"/>
        <w:adjustRightInd w:val="0"/>
        <w:snapToGrid w:val="0"/>
        <w:ind w:firstLineChars="200" w:firstLine="640"/>
        <w:rPr>
          <w:rFonts w:eastAsia="方正楷体_GBK" w:cs="Arial"/>
          <w:b/>
          <w:spacing w:val="0"/>
          <w:szCs w:val="32"/>
          <w:shd w:val="clear" w:color="auto" w:fill="auto"/>
          <w:lang w:bidi="ar-SA"/>
        </w:rPr>
      </w:pPr>
      <w:r>
        <w:rPr>
          <w:rFonts w:eastAsia="方正楷体_GBK" w:cs="Arial" w:hint="eastAsia"/>
          <w:b/>
          <w:spacing w:val="0"/>
          <w:szCs w:val="32"/>
          <w:shd w:val="clear" w:color="auto" w:fill="auto"/>
          <w:lang w:bidi="ar-SA"/>
        </w:rPr>
        <w:t>（二）依申请公开情况。</w:t>
      </w:r>
    </w:p>
    <w:p>
      <w:pPr>
        <w:pStyle w:val="33"/>
        <w:shd w:val="clear" w:color="auto" w:fill="auto"/>
        <w:adjustRightInd w:val="0"/>
        <w:snapToGrid w:val="0"/>
        <w:ind w:firstLineChars="200" w:firstLine="640"/>
        <w:rPr>
          <w:rFonts w:hint="eastAsia"/>
          <w:shd w:val="clear" w:color="auto" w:fill="auto"/>
        </w:rPr>
      </w:pPr>
      <w:r>
        <w:rPr>
          <w:rFonts w:cs="Arial" w:hint="eastAsia"/>
          <w:spacing w:val="0"/>
          <w:szCs w:val="32"/>
          <w:shd w:val="clear" w:color="auto" w:fill="auto"/>
          <w:lang w:bidi="ar-SA"/>
        </w:rPr>
        <w:t>畅通</w:t>
      </w:r>
      <w:r>
        <w:rPr>
          <w:rFonts w:cs="Arial"/>
          <w:spacing w:val="0"/>
          <w:szCs w:val="32"/>
          <w:shd w:val="clear" w:color="auto" w:fill="auto"/>
          <w:lang w:bidi="ar-SA"/>
        </w:rPr>
        <w:t>现场</w:t>
      </w:r>
      <w:r>
        <w:rPr>
          <w:rFonts w:cs="Arial" w:hint="eastAsia"/>
          <w:spacing w:val="0"/>
          <w:szCs w:val="32"/>
          <w:shd w:val="clear" w:color="auto" w:fill="auto"/>
          <w:lang w:bidi="ar-SA"/>
        </w:rPr>
        <w:t>、</w:t>
      </w:r>
      <w:r>
        <w:rPr>
          <w:rFonts w:cs="Arial"/>
          <w:spacing w:val="0"/>
          <w:szCs w:val="32"/>
          <w:shd w:val="clear" w:color="auto" w:fill="auto"/>
          <w:lang w:bidi="ar-SA"/>
        </w:rPr>
        <w:t>邮政信函</w:t>
      </w:r>
      <w:r>
        <w:rPr>
          <w:rFonts w:cs="Arial" w:hint="eastAsia"/>
          <w:spacing w:val="0"/>
          <w:szCs w:val="32"/>
          <w:shd w:val="clear" w:color="auto" w:fill="auto"/>
          <w:lang w:bidi="ar-SA"/>
        </w:rPr>
        <w:t>、</w:t>
      </w:r>
      <w:r>
        <w:rPr>
          <w:rFonts w:cs="Arial"/>
          <w:spacing w:val="0"/>
          <w:szCs w:val="32"/>
          <w:shd w:val="clear" w:color="auto" w:fill="auto"/>
          <w:lang w:bidi="ar-SA"/>
        </w:rPr>
        <w:t>电子邮件</w:t>
      </w:r>
      <w:r>
        <w:rPr>
          <w:rFonts w:cs="Arial" w:hint="eastAsia"/>
          <w:spacing w:val="0"/>
          <w:szCs w:val="32"/>
          <w:shd w:val="clear" w:color="auto" w:fill="auto"/>
          <w:lang w:bidi="ar-SA"/>
        </w:rPr>
        <w:t>、传真等多种受理渠道</w:t>
      </w:r>
      <w:r>
        <w:rPr>
          <w:shd w:val="clear" w:color="auto" w:fill="auto"/>
          <w:lang w:bidi="ar-SA"/>
        </w:rPr>
        <w:t>，积极沟通上级部门获取专业指导与支持</w:t>
      </w:r>
      <w:r>
        <w:rPr>
          <w:rFonts w:cs="Arial" w:hint="eastAsia"/>
          <w:spacing w:val="0"/>
          <w:szCs w:val="32"/>
          <w:shd w:val="clear" w:color="auto" w:fill="auto"/>
          <w:lang w:bidi="ar-SA"/>
        </w:rPr>
        <w:t>，</w:t>
      </w:r>
      <w:r>
        <w:rPr>
          <w:rFonts w:cs="Arial"/>
          <w:spacing w:val="0"/>
          <w:szCs w:val="32"/>
          <w:shd w:val="clear" w:color="auto" w:fill="auto"/>
          <w:lang w:bidi="ar-SA"/>
        </w:rPr>
        <w:t>进一步</w:t>
      </w:r>
      <w:r>
        <w:rPr>
          <w:shd w:val="clear" w:color="auto" w:fill="auto"/>
          <w:lang w:bidi="ar-SA"/>
        </w:rPr>
        <w:t>优化政府信息公开申请办理流程，提升答复的时效性、准确性。年内共受理政府信息公开申请2件，均在法定时限内办结，未发生因政府信息公开申请引发的行政复议、诉讼。</w:t>
      </w:r>
    </w:p>
    <w:p>
      <w:pPr>
        <w:pStyle w:val="33"/>
        <w:shd w:val="clear" w:color="auto" w:fill="auto"/>
        <w:adjustRightInd w:val="0"/>
        <w:snapToGrid w:val="0"/>
        <w:ind w:firstLineChars="200" w:firstLine="640"/>
        <w:rPr>
          <w:rFonts w:eastAsia="方正楷体_GBK" w:cs="Arial"/>
          <w:b/>
          <w:spacing w:val="0"/>
          <w:szCs w:val="32"/>
          <w:shd w:val="clear" w:color="auto" w:fill="auto"/>
          <w:lang w:bidi="ar-SA"/>
        </w:rPr>
      </w:pPr>
      <w:r>
        <w:rPr>
          <w:rFonts w:eastAsia="方正楷体_GBK" w:cs="Arial" w:hint="eastAsia"/>
          <w:b/>
          <w:spacing w:val="0"/>
          <w:szCs w:val="32"/>
          <w:shd w:val="clear" w:color="auto" w:fill="auto"/>
          <w:lang w:bidi="ar-SA"/>
        </w:rPr>
        <w:t>（三）政府信息管理情况。</w:t>
      </w:r>
    </w:p>
    <w:p>
      <w:pPr>
        <w:pStyle w:val="33"/>
        <w:shd w:val="clear" w:color="auto" w:fill="auto"/>
        <w:adjustRightInd w:val="0"/>
        <w:snapToGrid w:val="0"/>
        <w:ind w:firstLineChars="200" w:firstLine="640"/>
        <w:rPr>
          <w:rFonts w:cs="Arial"/>
          <w:spacing w:val="0"/>
          <w:szCs w:val="32"/>
          <w:shd w:val="clear" w:color="auto" w:fill="auto"/>
          <w:lang w:bidi="ar-SA"/>
        </w:rPr>
      </w:pPr>
      <w:r>
        <w:rPr>
          <w:rFonts w:cs="Arial"/>
          <w:spacing w:val="0"/>
          <w:szCs w:val="32"/>
          <w:shd w:val="clear" w:color="auto" w:fill="auto"/>
          <w:lang w:bidi="ar-SA"/>
        </w:rPr>
        <w:t>严格执行政府信息公开审查制度，抓严抓</w:t>
      </w:r>
      <w:r>
        <w:rPr>
          <w:rFonts w:cs="Arial" w:hint="eastAsia"/>
          <w:spacing w:val="0"/>
          <w:szCs w:val="32"/>
          <w:shd w:val="clear" w:color="auto" w:fill="auto"/>
          <w:lang w:bidi="ar-SA"/>
        </w:rPr>
        <w:t>实“先审后发”信息发布主体责任，</w:t>
      </w:r>
      <w:r>
        <w:rPr>
          <w:rFonts w:cs="Arial"/>
          <w:spacing w:val="0"/>
          <w:szCs w:val="32"/>
          <w:shd w:val="clear" w:color="auto" w:fill="auto"/>
          <w:lang w:bidi="ar-SA"/>
        </w:rPr>
        <w:t>强化日常监督检查，定期对已发布在广州海关门户网站上的内容进行检查和维护，确保对外发布信息及时、准确、有效。</w:t>
      </w:r>
    </w:p>
    <w:p>
      <w:pPr>
        <w:pStyle w:val="33"/>
        <w:shd w:val="clear" w:color="auto" w:fill="auto"/>
        <w:adjustRightInd w:val="0"/>
        <w:snapToGrid w:val="0"/>
        <w:ind w:firstLineChars="200" w:firstLine="640"/>
        <w:rPr>
          <w:rFonts w:eastAsia="方正楷体_GBK" w:cs="Arial"/>
          <w:b/>
          <w:spacing w:val="0"/>
          <w:szCs w:val="32"/>
          <w:shd w:val="clear" w:color="auto" w:fill="auto"/>
          <w:lang w:bidi="ar-SA"/>
        </w:rPr>
      </w:pPr>
      <w:r>
        <w:rPr>
          <w:rFonts w:eastAsia="方正楷体_GBK" w:cs="Arial" w:hint="eastAsia"/>
          <w:b/>
          <w:spacing w:val="0"/>
          <w:szCs w:val="32"/>
          <w:shd w:val="clear" w:color="auto" w:fill="auto"/>
          <w:lang w:bidi="ar-SA"/>
        </w:rPr>
        <w:t>（四）政府信息公开平台建设情况。</w:t>
      </w:r>
    </w:p>
    <w:p>
      <w:pPr>
        <w:pStyle w:val="33"/>
        <w:shd w:val="clear" w:color="auto" w:fill="auto"/>
        <w:adjustRightInd w:val="0"/>
        <w:snapToGrid w:val="0"/>
        <w:ind w:firstLineChars="200" w:firstLine="640"/>
        <w:rPr>
          <w:rFonts w:cs="Arial" w:hint="eastAsia"/>
          <w:spacing w:val="0"/>
          <w:szCs w:val="32"/>
          <w:shd w:val="clear" w:color="auto" w:fill="auto"/>
          <w:lang w:bidi="ar-SA"/>
        </w:rPr>
      </w:pPr>
      <w:r>
        <w:rPr>
          <w:rFonts w:cs="Arial"/>
          <w:spacing w:val="0"/>
          <w:szCs w:val="32"/>
          <w:shd w:val="clear" w:color="auto" w:fill="auto"/>
          <w:lang w:bidi="ar-SA"/>
        </w:rPr>
        <w:t>持续擦亮</w:t>
      </w:r>
      <w:r>
        <w:rPr>
          <w:rFonts w:cs="Arial" w:hint="eastAsia"/>
          <w:spacing w:val="0"/>
          <w:szCs w:val="32"/>
          <w:shd w:val="clear" w:color="auto" w:fill="auto"/>
          <w:lang w:bidi="ar-SA"/>
        </w:rPr>
        <w:t>“穗关‘政’能量”</w:t>
      </w:r>
      <w:r>
        <w:rPr>
          <w:rFonts w:cs="Arial"/>
          <w:spacing w:val="0"/>
          <w:szCs w:val="32"/>
          <w:shd w:val="clear" w:color="auto" w:fill="auto"/>
          <w:lang w:bidi="ar-SA"/>
        </w:rPr>
        <w:t>政务公开</w:t>
      </w:r>
      <w:r>
        <w:rPr>
          <w:rFonts w:cs="Arial" w:hint="eastAsia"/>
          <w:spacing w:val="0"/>
          <w:szCs w:val="32"/>
          <w:shd w:val="clear" w:color="auto" w:fill="auto"/>
          <w:lang w:bidi="ar-SA"/>
        </w:rPr>
        <w:t>品牌</w:t>
      </w:r>
      <w:r>
        <w:rPr>
          <w:rFonts w:cs="Arial"/>
          <w:spacing w:val="0"/>
          <w:szCs w:val="32"/>
          <w:shd w:val="clear" w:color="auto" w:fill="auto"/>
          <w:lang w:bidi="ar-SA"/>
        </w:rPr>
        <w:t>，因地制宜</w:t>
      </w:r>
      <w:r>
        <w:rPr>
          <w:rFonts w:eastAsia="方正仿宋_GBK"/>
          <w:color w:val="000000"/>
          <w:spacing w:val="0"/>
          <w:sz w:val="32"/>
          <w:szCs w:val="32"/>
          <w:shd w:val="clear" w:color="auto" w:fill="auto"/>
          <w:vertAlign w:val="baseline"/>
        </w:rPr>
        <w:t>优化</w:t>
      </w:r>
      <w:r>
        <w:rPr>
          <w:rFonts w:eastAsia="方正仿宋_GBK" w:hint="eastAsia"/>
          <w:color w:val="000000"/>
          <w:spacing w:val="0"/>
          <w:sz w:val="32"/>
          <w:szCs w:val="32"/>
          <w:shd w:val="clear" w:color="auto" w:fill="auto"/>
          <w:vertAlign w:val="baseline"/>
        </w:rPr>
        <w:t>基层政务公开专区</w:t>
      </w:r>
      <w:r>
        <w:rPr>
          <w:rFonts w:eastAsia="方正仿宋_GBK"/>
          <w:color w:val="000000"/>
          <w:spacing w:val="0"/>
          <w:sz w:val="32"/>
          <w:szCs w:val="32"/>
          <w:shd w:val="clear" w:color="auto" w:fill="auto"/>
          <w:vertAlign w:val="baseline"/>
        </w:rPr>
        <w:t>建设，充分运用信息化手段，依托广州海关线上</w:t>
      </w:r>
      <w:r>
        <w:rPr>
          <w:rFonts w:eastAsia="方正仿宋_GBK" w:hint="eastAsia"/>
          <w:color w:val="000000"/>
          <w:spacing w:val="0"/>
          <w:sz w:val="32"/>
          <w:szCs w:val="32"/>
          <w:shd w:val="clear" w:color="auto" w:fill="auto"/>
          <w:vertAlign w:val="baseline"/>
        </w:rPr>
        <w:t>“</w:t>
      </w:r>
      <w:r>
        <w:rPr>
          <w:rFonts w:eastAsia="方正仿宋_GBK"/>
          <w:color w:val="000000"/>
          <w:spacing w:val="0"/>
          <w:sz w:val="32"/>
          <w:szCs w:val="32"/>
          <w:shd w:val="clear" w:color="auto" w:fill="auto"/>
          <w:vertAlign w:val="baseline"/>
        </w:rPr>
        <w:t>智慧海关政务服务地图</w:t>
      </w:r>
      <w:r>
        <w:rPr>
          <w:rFonts w:eastAsia="方正仿宋_GBK" w:hint="eastAsia"/>
          <w:color w:val="000000"/>
          <w:spacing w:val="0"/>
          <w:sz w:val="32"/>
          <w:szCs w:val="32"/>
          <w:shd w:val="clear" w:color="auto" w:fill="auto"/>
          <w:vertAlign w:val="baseline"/>
        </w:rPr>
        <w:t>”</w:t>
      </w:r>
      <w:r>
        <w:rPr>
          <w:rFonts w:eastAsia="方正仿宋_GBK"/>
          <w:color w:val="000000"/>
          <w:spacing w:val="0"/>
          <w:sz w:val="32"/>
          <w:szCs w:val="32"/>
          <w:shd w:val="clear" w:color="auto" w:fill="auto"/>
          <w:vertAlign w:val="baseline"/>
        </w:rPr>
        <w:t>应用，整合各类常用政务服务事项的办事指南、查询渠道等内容，为企业群众提供更加便捷、集成、优质的政务公开及政务服务。发挥</w:t>
      </w:r>
      <w:r>
        <w:rPr>
          <w:rFonts w:eastAsia="方正仿宋_GBK" w:hint="eastAsia"/>
          <w:color w:val="000000"/>
          <w:spacing w:val="0"/>
          <w:sz w:val="32"/>
          <w:szCs w:val="32"/>
          <w:shd w:val="clear" w:color="auto" w:fill="auto"/>
          <w:vertAlign w:val="baseline"/>
        </w:rPr>
        <w:t>“</w:t>
      </w:r>
      <w:r>
        <w:rPr>
          <w:rFonts w:eastAsia="方正仿宋_GBK"/>
          <w:color w:val="000000"/>
          <w:spacing w:val="0"/>
          <w:sz w:val="32"/>
          <w:szCs w:val="32"/>
          <w:shd w:val="clear" w:color="auto" w:fill="auto"/>
          <w:vertAlign w:val="baseline"/>
        </w:rPr>
        <w:t>枫桥站+政务公开</w:t>
      </w:r>
      <w:r>
        <w:rPr>
          <w:rFonts w:eastAsia="方正仿宋_GBK" w:hint="eastAsia"/>
          <w:color w:val="000000"/>
          <w:spacing w:val="0"/>
          <w:sz w:val="32"/>
          <w:szCs w:val="32"/>
          <w:shd w:val="clear" w:color="auto" w:fill="auto"/>
          <w:vertAlign w:val="baseline"/>
        </w:rPr>
        <w:t>专区”</w:t>
      </w:r>
      <w:r>
        <w:rPr>
          <w:rFonts w:eastAsia="方正仿宋_GBK"/>
          <w:color w:val="000000"/>
          <w:spacing w:val="0"/>
          <w:sz w:val="32"/>
          <w:szCs w:val="32"/>
          <w:shd w:val="clear" w:color="auto" w:fill="auto"/>
          <w:vertAlign w:val="baseline"/>
        </w:rPr>
        <w:t>叠加效应，</w:t>
      </w:r>
      <w:r>
        <w:rPr>
          <w:rFonts w:eastAsia="方正仿宋_GBK" w:cs="方正仿宋_GBK" w:hint="eastAsia"/>
          <w:sz w:val="32"/>
          <w:szCs w:val="32"/>
          <w:shd w:val="clear" w:color="auto" w:fill="auto"/>
          <w:lang w:val="zh-CN" w:eastAsia="zh-CN" w:bidi="ar-SA"/>
        </w:rPr>
        <w:t>将普法融入业务办理</w:t>
      </w:r>
      <w:r>
        <w:rPr>
          <w:rFonts w:eastAsia="方正仿宋_GBK" w:cs="方正仿宋_GBK"/>
          <w:sz w:val="32"/>
          <w:szCs w:val="32"/>
          <w:shd w:val="clear" w:color="auto" w:fill="auto"/>
          <w:lang w:val="zh-CN" w:eastAsia="zh-CN" w:bidi="ar-SA"/>
        </w:rPr>
        <w:t>全流程</w:t>
      </w:r>
      <w:r>
        <w:rPr>
          <w:rFonts w:eastAsia="方正仿宋_GBK" w:cs="方正仿宋_GBK" w:hint="eastAsia"/>
          <w:sz w:val="32"/>
          <w:szCs w:val="32"/>
          <w:shd w:val="clear" w:color="auto" w:fill="auto"/>
          <w:lang w:val="zh-CN" w:eastAsia="zh-CN" w:bidi="ar-SA"/>
        </w:rPr>
        <w:t>，</w:t>
      </w:r>
      <w:r>
        <w:rPr>
          <w:rFonts w:eastAsia="方正仿宋_GBK" w:cs="方正仿宋_GBK"/>
          <w:sz w:val="32"/>
          <w:szCs w:val="32"/>
          <w:shd w:val="clear" w:color="auto" w:fill="auto"/>
          <w:lang w:val="zh-CN" w:eastAsia="zh-CN" w:bidi="ar-SA"/>
        </w:rPr>
        <w:t>畅顺</w:t>
      </w:r>
      <w:r>
        <w:rPr>
          <w:rFonts w:eastAsia="方正仿宋_GBK" w:hint="eastAsia"/>
          <w:color w:val="000000"/>
          <w:spacing w:val="0"/>
          <w:sz w:val="32"/>
          <w:szCs w:val="32"/>
          <w:shd w:val="clear" w:color="auto" w:fill="auto"/>
          <w:vertAlign w:val="baseline"/>
        </w:rPr>
        <w:t>“普法宣传指导+问题源头化解”路径</w:t>
      </w:r>
      <w:r>
        <w:rPr>
          <w:rFonts w:eastAsia="方正仿宋_GBK"/>
          <w:color w:val="000000"/>
          <w:spacing w:val="0"/>
          <w:sz w:val="32"/>
          <w:szCs w:val="32"/>
          <w:shd w:val="clear" w:color="auto" w:fill="auto"/>
          <w:vertAlign w:val="baseline"/>
        </w:rPr>
        <w:t>，</w:t>
      </w:r>
      <w:r>
        <w:rPr>
          <w:rFonts w:eastAsia="方正仿宋_GBK" w:cs="方正仿宋_GBK" w:hint="eastAsia"/>
          <w:sz w:val="32"/>
          <w:szCs w:val="32"/>
          <w:shd w:val="clear" w:color="auto" w:fill="auto"/>
          <w:lang w:bidi="ar-SA"/>
        </w:rPr>
        <w:t>推动</w:t>
      </w:r>
      <w:r>
        <w:rPr>
          <w:rFonts w:eastAsia="方正仿宋_GBK" w:cs="方正仿宋_GBK"/>
          <w:sz w:val="32"/>
          <w:szCs w:val="32"/>
          <w:shd w:val="clear" w:color="auto" w:fill="auto"/>
          <w:lang w:bidi="ar-SA"/>
        </w:rPr>
        <w:t>现场</w:t>
      </w:r>
      <w:r>
        <w:rPr>
          <w:rFonts w:eastAsia="方正仿宋_GBK" w:cs="方正仿宋_GBK" w:hint="eastAsia"/>
          <w:sz w:val="32"/>
          <w:szCs w:val="32"/>
          <w:shd w:val="clear" w:color="auto" w:fill="auto"/>
          <w:lang w:bidi="ar-SA"/>
        </w:rPr>
        <w:t>问题就地化解、及时处置。</w:t>
      </w:r>
    </w:p>
    <w:p>
      <w:pPr>
        <w:pStyle w:val="33"/>
        <w:shd w:val="clear" w:color="auto" w:fill="auto"/>
        <w:adjustRightInd w:val="0"/>
        <w:snapToGrid w:val="0"/>
        <w:ind w:firstLineChars="200" w:firstLine="640"/>
        <w:rPr>
          <w:rFonts w:eastAsia="方正楷体_GBK" w:cs="Arial"/>
          <w:b/>
          <w:spacing w:val="0"/>
          <w:szCs w:val="32"/>
          <w:shd w:val="clear" w:color="auto" w:fill="auto"/>
          <w:lang w:bidi="ar-SA"/>
        </w:rPr>
      </w:pPr>
      <w:r>
        <w:rPr>
          <w:rFonts w:eastAsia="方正楷体_GBK" w:cs="Arial" w:hint="eastAsia"/>
          <w:b/>
          <w:spacing w:val="0"/>
          <w:szCs w:val="32"/>
          <w:shd w:val="clear" w:color="auto" w:fill="auto"/>
          <w:lang w:bidi="ar-SA"/>
        </w:rPr>
        <w:t>（五）监督保障情况。</w:t>
      </w:r>
    </w:p>
    <w:p>
      <w:pPr>
        <w:pStyle w:val="33"/>
        <w:shd w:val="clear" w:color="auto" w:fill="auto"/>
        <w:adjustRightInd w:val="0"/>
        <w:snapToGrid w:val="0"/>
        <w:ind w:firstLineChars="200" w:firstLine="640"/>
        <w:rPr>
          <w:rFonts w:ascii="Times New Roman" w:eastAsia="方正仿宋_GBK" w:cs="Times New Roman" w:hAnsi="Times New Roman"/>
          <w:sz w:val="32"/>
          <w:szCs w:val="32"/>
          <w:shd w:val="clear" w:color="auto" w:fill="auto"/>
          <w:lang w:bidi="ar-SA"/>
        </w:rPr>
      </w:pPr>
      <w:r>
        <w:rPr>
          <w:color w:val="000000"/>
          <w:spacing w:val="0"/>
          <w:szCs w:val="32"/>
          <w:shd w:val="clear" w:color="auto" w:fill="auto"/>
          <w:lang w:bidi="ar-SA"/>
        </w:rPr>
        <w:t>畅通外部监督路径，在业务现场显著位置公示监督举报渠道，每月开展</w:t>
      </w:r>
      <w:r>
        <w:rPr>
          <w:rFonts w:hint="eastAsia"/>
          <w:color w:val="000000"/>
          <w:spacing w:val="0"/>
          <w:szCs w:val="32"/>
          <w:shd w:val="clear" w:color="auto" w:fill="auto"/>
          <w:lang w:bidi="ar-SA"/>
        </w:rPr>
        <w:t>“</w:t>
      </w:r>
      <w:r>
        <w:rPr>
          <w:color w:val="000000"/>
          <w:spacing w:val="0"/>
          <w:szCs w:val="32"/>
          <w:shd w:val="clear" w:color="auto" w:fill="auto"/>
          <w:lang w:bidi="ar-SA"/>
        </w:rPr>
        <w:t>关长接待日</w:t>
      </w:r>
      <w:r>
        <w:rPr>
          <w:rFonts w:hint="eastAsia"/>
          <w:color w:val="000000"/>
          <w:spacing w:val="0"/>
          <w:szCs w:val="32"/>
          <w:shd w:val="clear" w:color="auto" w:fill="auto"/>
          <w:lang w:bidi="ar-SA"/>
        </w:rPr>
        <w:t>”</w:t>
      </w:r>
      <w:r>
        <w:rPr>
          <w:color w:val="000000"/>
          <w:spacing w:val="0"/>
          <w:szCs w:val="32"/>
          <w:shd w:val="clear" w:color="auto" w:fill="auto"/>
          <w:lang w:bidi="ar-SA"/>
        </w:rPr>
        <w:t>，广泛收集公众意见与建议，及时回应社会监督。</w:t>
      </w:r>
      <w:r>
        <w:rPr>
          <w:color w:val="000000"/>
          <w:spacing w:val="0"/>
          <w:szCs w:val="32"/>
          <w:shd w:val="clear" w:color="auto" w:fill="auto"/>
        </w:rPr>
        <w:t>积极选派人员参与政务公开相关培训，积累实践经验，采用定期测试形式巩固理论基础，</w:t>
      </w:r>
      <w:r>
        <w:rPr>
          <w:color w:val="000000"/>
          <w:spacing w:val="0"/>
          <w:szCs w:val="32"/>
          <w:shd w:val="clear" w:color="auto" w:fill="auto"/>
          <w:lang w:bidi="ar-SA"/>
        </w:rPr>
        <w:t>力求全面</w:t>
      </w:r>
      <w:r>
        <w:rPr>
          <w:color w:val="000000"/>
          <w:spacing w:val="0"/>
          <w:szCs w:val="32"/>
          <w:shd w:val="clear" w:color="auto" w:fill="auto"/>
        </w:rPr>
        <w:t>提升岗位人员理论与实操水平。</w:t>
      </w:r>
      <w:r>
        <w:rPr>
          <w:color w:val="000000"/>
          <w:spacing w:val="0"/>
          <w:szCs w:val="32"/>
          <w:shd w:val="clear" w:color="auto" w:fill="auto"/>
          <w:lang w:bidi="ar-SA"/>
        </w:rPr>
        <w:t>强化内部监督管理，定期开展信息公开自查自纠，对发现问题</w:t>
      </w:r>
      <w:r>
        <w:rPr>
          <w:rFonts w:hint="eastAsia"/>
          <w:color w:val="000000"/>
          <w:spacing w:val="0"/>
          <w:szCs w:val="32"/>
          <w:shd w:val="clear" w:color="auto" w:fill="auto"/>
          <w:lang w:bidi="ar-SA"/>
        </w:rPr>
        <w:t>“</w:t>
      </w:r>
      <w:r>
        <w:rPr>
          <w:color w:val="000000"/>
          <w:spacing w:val="0"/>
          <w:szCs w:val="32"/>
          <w:shd w:val="clear" w:color="auto" w:fill="auto"/>
          <w:lang w:bidi="ar-SA"/>
        </w:rPr>
        <w:t>举一反三</w:t>
      </w:r>
      <w:r>
        <w:rPr>
          <w:rFonts w:hint="eastAsia"/>
          <w:color w:val="000000"/>
          <w:spacing w:val="0"/>
          <w:szCs w:val="32"/>
          <w:shd w:val="clear" w:color="auto" w:fill="auto"/>
          <w:lang w:bidi="ar-SA"/>
        </w:rPr>
        <w:t>”</w:t>
      </w:r>
      <w:r>
        <w:rPr>
          <w:color w:val="000000"/>
          <w:spacing w:val="0"/>
          <w:szCs w:val="32"/>
          <w:shd w:val="clear" w:color="auto" w:fill="auto"/>
          <w:lang w:bidi="ar-SA"/>
        </w:rPr>
        <w:t>及时整改。</w:t>
      </w:r>
    </w:p>
    <w:p>
      <w:pPr>
        <w:pStyle w:val="33"/>
        <w:shd w:val="clear" w:color="auto" w:fill="auto"/>
        <w:adjustRightInd w:val="0"/>
        <w:snapToGrid w:val="0"/>
        <w:ind w:firstLineChars="200" w:firstLine="624"/>
        <w:rPr>
          <w:rFonts w:eastAsia="方正黑体_GBK" w:cs="楷体_GB2312" w:hint="eastAsia"/>
          <w:bCs/>
          <w:szCs w:val="32"/>
          <w:shd w:val="clear" w:color="auto" w:fill="auto"/>
          <w:lang w:bidi="ar-SA"/>
        </w:rPr>
      </w:pPr>
      <w:r>
        <w:rPr>
          <w:rFonts w:eastAsia="方正黑体_GBK" w:cs="楷体_GB2312" w:hint="eastAsia"/>
          <w:bCs/>
          <w:szCs w:val="32"/>
          <w:shd w:val="clear" w:color="auto" w:fill="auto"/>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495"/>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第二十条第（一）项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现行有效件数</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第二十条第（五）项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r>
        <w:trPr>
          <w:trHeight w:val="406"/>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第二十条第（六）项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32</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r>
        <w:trPr>
          <w:trHeight w:val="47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第二十条第（八）项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shd w:val="clear" w:color="auto" w:fill="auto"/>
              <w:adjustRightInd w:val="0"/>
              <w:snapToGrid w:val="0"/>
              <w:spacing w:line="260" w:lineRule="exact"/>
              <w:jc w:val="center"/>
              <w:rPr>
                <w:sz w:val="24"/>
                <w:szCs w:val="24"/>
                <w:shd w:val="clear" w:color="auto" w:fill="auto"/>
              </w:rPr>
            </w:pPr>
            <w:r>
              <w:rPr>
                <w:rFonts w:cs="宋体" w:hint="eastAsia"/>
                <w:kern w:val="0"/>
                <w:sz w:val="24"/>
                <w:szCs w:val="24"/>
                <w:shd w:val="clear" w:color="auto" w:fill="auto"/>
                <w:lang w:bidi="ar-SA"/>
              </w:rPr>
              <w:t>本年收费金额（单位：万元）</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hd w:val="clear" w:color="auto" w:fill="auto"/>
              </w:rPr>
            </w:pPr>
            <w:r>
              <w:rPr>
                <w:rFonts w:cs="宋体" w:hint="eastAsia"/>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bl>
    <w:p>
      <w:pPr>
        <w:pStyle w:val="341"/>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5"/>
        <w:widowControl/>
        <w:shd w:val="clear" w:color="auto" w:fill="auto"/>
        <w:adjustRightInd w:val="0"/>
        <w:snapToGrid w:val="0"/>
        <w:spacing w:beforeAutospacing="0" w:afterAutospacing="0" w:line="560" w:lineRule="exact"/>
        <w:ind w:firstLineChars="200" w:firstLine="640"/>
        <w:jc w:val="both"/>
        <w:rPr>
          <w:rFonts w:eastAsia="方正黑体_GBK" w:cs="楷体_GB2312" w:hint="eastAsia"/>
          <w:bCs/>
          <w:sz w:val="32"/>
          <w:szCs w:val="32"/>
          <w:shd w:val="clear" w:color="auto" w:fill="auto"/>
          <w:lang w:bidi="ar-SA"/>
        </w:rPr>
      </w:pPr>
      <w:bookmarkStart w:id="2" w:name="_GoBack"/>
      <w:bookmarkEnd w:id="2"/>
      <w:r>
        <w:rPr>
          <w:rFonts w:eastAsia="方正黑体_GBK" w:cs="楷体_GB2312" w:hint="eastAsia"/>
          <w:bCs/>
          <w:sz w:val="32"/>
          <w:szCs w:val="32"/>
          <w:shd w:val="clear" w:color="auto" w:fill="auto"/>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rFonts w:cs="宋体" w:hint="eastAsia"/>
                <w:kern w:val="0"/>
                <w:sz w:val="20"/>
                <w:szCs w:val="20"/>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sz w:val="24"/>
                <w:szCs w:val="24"/>
                <w:shd w:val="clear" w:color="auto" w:fill="auto"/>
              </w:rPr>
            </w:pPr>
            <w:r>
              <w:rPr>
                <w:rFonts w:cs="宋体" w:hint="eastAsia"/>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sz w:val="24"/>
                <w:szCs w:val="24"/>
                <w:shd w:val="clear" w:color="auto" w:fill="auto"/>
              </w:rPr>
            </w:pPr>
            <w:r>
              <w:rPr>
                <w:rFonts w:cs="宋体" w:hint="eastAsia"/>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z w:val="24"/>
                <w:szCs w:val="24"/>
                <w:shd w:val="clear" w:color="auto" w:fill="auto"/>
              </w:rPr>
            </w:pPr>
            <w:r>
              <w:rPr>
                <w:rFonts w:eastAsia="楷体" w:cs="楷体" w:hint="eastAsia"/>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z w:val="24"/>
                <w:szCs w:val="24"/>
                <w:shd w:val="clear" w:color="auto" w:fill="auto"/>
              </w:rPr>
            </w:pPr>
            <w:r>
              <w:rPr>
                <w:rFonts w:eastAsia="楷体" w:cs="楷体" w:hint="eastAsia"/>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cs="楷体" w:hint="eastAsia"/>
                <w:kern w:val="0"/>
                <w:sz w:val="24"/>
                <w:szCs w:val="24"/>
                <w:shd w:val="clear" w:color="auto" w:fill="auto"/>
                <w:lang w:bidi="ar-SA"/>
              </w:rPr>
            </w:pPr>
            <w:r>
              <w:rPr>
                <w:rFonts w:eastAsia="楷体" w:cs="楷体" w:hint="eastAsia"/>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cs="楷体" w:hint="eastAsia"/>
                <w:kern w:val="0"/>
                <w:sz w:val="24"/>
                <w:szCs w:val="24"/>
                <w:shd w:val="clear" w:color="auto" w:fill="auto"/>
                <w:lang w:bidi="ar-SA"/>
              </w:rPr>
            </w:pPr>
            <w:r>
              <w:rPr>
                <w:rFonts w:eastAsia="楷体" w:cs="楷体" w:hint="eastAsia"/>
                <w:kern w:val="0"/>
                <w:sz w:val="24"/>
                <w:szCs w:val="24"/>
                <w:shd w:val="clear" w:color="auto" w:fill="auto"/>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cs="楷体" w:hint="eastAsia"/>
                <w:kern w:val="0"/>
                <w:sz w:val="24"/>
                <w:szCs w:val="24"/>
                <w:shd w:val="clear" w:color="auto" w:fill="auto"/>
                <w:lang w:bidi="ar-SA"/>
              </w:rPr>
            </w:pPr>
            <w:r>
              <w:rPr>
                <w:rFonts w:eastAsia="楷体" w:cs="楷体" w:hint="eastAsia"/>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1</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1</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cs="楷体" w:hint="eastAsia"/>
                <w:kern w:val="0"/>
                <w:sz w:val="24"/>
                <w:szCs w:val="24"/>
                <w:shd w:val="clear" w:color="auto" w:fill="auto"/>
                <w:lang w:bidi="ar-SA"/>
              </w:rPr>
            </w:pPr>
            <w:r>
              <w:rPr>
                <w:rFonts w:eastAsia="楷体" w:cs="楷体" w:hint="eastAsia"/>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0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0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cs="楷体" w:hint="eastAsia"/>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2</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2</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hd w:val="clear" w:color="auto" w:fill="auto"/>
              </w:rPr>
            </w:pPr>
            <w:r>
              <w:rPr>
                <w:rFonts w:cs="宋体" w:hint="eastAsia"/>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25"/>
        <w:widowControl/>
        <w:shd w:val="clear" w:color="auto" w:fill="auto"/>
        <w:spacing w:beforeAutospacing="0" w:afterAutospacing="0" w:line="560" w:lineRule="exact"/>
        <w:ind w:firstLineChars="200" w:firstLine="640"/>
        <w:jc w:val="both"/>
        <w:rPr>
          <w:rFonts w:cs="宋体" w:hint="eastAsia"/>
          <w:szCs w:val="24"/>
          <w:shd w:val="clear" w:color="auto" w:fill="auto"/>
          <w:lang w:bidi="ar-SA"/>
        </w:rPr>
      </w:pPr>
      <w:r>
        <w:rPr>
          <w:rFonts w:eastAsia="方正黑体_GBK" w:cs="楷体_GB2312" w:hint="eastAsia"/>
          <w:bCs/>
          <w:sz w:val="32"/>
          <w:szCs w:val="32"/>
          <w:shd w:val="clear" w:color="auto" w:fill="auto"/>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rFonts w:cs="宋体" w:hint="eastAsia"/>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kern w:val="0"/>
                <w:sz w:val="28"/>
                <w:szCs w:val="28"/>
                <w:shd w:val="clear" w:color="auto" w:fill="auto"/>
              </w:rPr>
            </w:pPr>
            <w:r>
              <w:rPr>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kern w:val="0"/>
                <w:sz w:val="28"/>
                <w:szCs w:val="28"/>
                <w:shd w:val="clear" w:color="auto" w:fill="auto"/>
              </w:rPr>
            </w:pPr>
            <w:r>
              <w:rPr>
                <w:kern w:val="0"/>
                <w:sz w:val="28"/>
                <w:szCs w:val="28"/>
                <w:shd w:val="clear" w:color="auto" w:fill="auto"/>
              </w:rPr>
              <w:t>0</w:t>
            </w:r>
          </w:p>
        </w:tc>
      </w:tr>
    </w:tbl>
    <w:p>
      <w:pPr>
        <w:pStyle w:val="25"/>
        <w:widowControl/>
        <w:shd w:val="clear" w:color="auto" w:fill="auto"/>
        <w:spacing w:beforeAutospacing="0" w:afterAutospacing="0" w:line="560" w:lineRule="exact"/>
        <w:ind w:firstLineChars="200" w:firstLine="640"/>
        <w:jc w:val="both"/>
        <w:rPr>
          <w:rFonts w:eastAsia="方正黑体_GBK" w:cs="楷体_GB2312" w:hint="eastAsia"/>
          <w:bCs/>
          <w:sz w:val="32"/>
          <w:szCs w:val="32"/>
          <w:shd w:val="clear" w:color="auto" w:fill="auto"/>
          <w:lang w:bidi="ar-SA"/>
        </w:rPr>
      </w:pPr>
      <w:r>
        <w:rPr>
          <w:rFonts w:eastAsia="方正黑体_GBK" w:cs="楷体_GB2312" w:hint="eastAsia"/>
          <w:bCs/>
          <w:sz w:val="32"/>
          <w:szCs w:val="32"/>
          <w:shd w:val="clear" w:color="auto" w:fill="auto"/>
          <w:lang w:bidi="ar-SA"/>
        </w:rPr>
        <w:t>五、存在的主要问题及改进情况</w:t>
      </w:r>
    </w:p>
    <w:p>
      <w:pPr>
        <w:pStyle w:val="41"/>
        <w:shd w:val="clear" w:color="auto" w:fill="auto"/>
        <w:adjustRightInd w:val="0"/>
        <w:snapToGrid w:val="0"/>
        <w:ind w:firstLineChars="200" w:firstLine="624"/>
        <w:rPr>
          <w:rFonts w:eastAsia="方正楷体_GBK" w:hint="eastAsia"/>
          <w:b/>
          <w:bCs/>
          <w:shd w:val="clear" w:color="auto" w:fill="auto"/>
        </w:rPr>
      </w:pPr>
      <w:r>
        <w:rPr>
          <w:rFonts w:eastAsia="方正楷体_GBK" w:hint="eastAsia"/>
          <w:b/>
          <w:bCs/>
          <w:shd w:val="clear" w:color="auto" w:fill="auto"/>
        </w:rPr>
        <w:t>（一）2023年年报中所提问题整改情况。</w:t>
      </w:r>
    </w:p>
    <w:p>
      <w:pPr>
        <w:pStyle w:val="41"/>
        <w:shd w:val="clear" w:color="auto" w:fill="auto"/>
        <w:adjustRightInd w:val="0"/>
        <w:snapToGrid w:val="0"/>
        <w:ind w:firstLineChars="200" w:firstLine="624"/>
        <w:rPr>
          <w:shd w:val="clear" w:color="auto" w:fill="auto"/>
        </w:rPr>
      </w:pPr>
      <w:r>
        <w:rPr>
          <w:rFonts w:hint="eastAsia"/>
          <w:shd w:val="clear" w:color="auto" w:fill="auto"/>
        </w:rPr>
        <w:t>广州车站海关202</w:t>
      </w:r>
      <w:r>
        <w:rPr>
          <w:shd w:val="clear" w:color="auto" w:fill="auto"/>
        </w:rPr>
        <w:t>3</w:t>
      </w:r>
      <w:r>
        <w:rPr>
          <w:rFonts w:hint="eastAsia"/>
          <w:shd w:val="clear" w:color="auto" w:fill="auto"/>
        </w:rPr>
        <w:t>年年报中提出以下问题：</w:t>
      </w:r>
      <w:r>
        <w:rPr>
          <w:shd w:val="clear" w:color="auto" w:fill="auto"/>
        </w:rPr>
        <w:t>2023年广州车站海关存在</w:t>
      </w:r>
      <w:r>
        <w:rPr>
          <w:rFonts w:hint="eastAsia"/>
          <w:shd w:val="clear" w:color="auto" w:fill="auto"/>
        </w:rPr>
        <w:t>政策解读不够及时、未充分以行政相对人角度开展政策解读的问题。</w:t>
      </w:r>
    </w:p>
    <w:p>
      <w:pPr>
        <w:pStyle w:val="41"/>
        <w:shd w:val="clear" w:color="auto" w:fill="auto"/>
        <w:adjustRightInd w:val="0"/>
        <w:snapToGrid w:val="0"/>
        <w:ind w:firstLineChars="200" w:firstLine="624"/>
        <w:rPr>
          <w:rFonts w:hint="eastAsia"/>
          <w:shd w:val="clear" w:color="auto" w:fill="auto"/>
        </w:rPr>
      </w:pPr>
      <w:r>
        <w:rPr>
          <w:rFonts w:hint="eastAsia"/>
          <w:shd w:val="clear" w:color="auto" w:fill="auto"/>
        </w:rPr>
        <w:t>上述问题在202</w:t>
      </w:r>
      <w:r>
        <w:rPr>
          <w:shd w:val="clear" w:color="auto" w:fill="auto"/>
        </w:rPr>
        <w:t>4</w:t>
      </w:r>
      <w:r>
        <w:rPr>
          <w:rFonts w:hint="eastAsia"/>
          <w:shd w:val="clear" w:color="auto" w:fill="auto"/>
        </w:rPr>
        <w:t>年已采取措施完成整改：</w:t>
      </w:r>
      <w:r>
        <w:rPr>
          <w:shd w:val="clear" w:color="auto" w:fill="auto"/>
        </w:rPr>
        <w:t>2024年，广州车站海关围绕促进广州中欧班列高质量发展，</w:t>
      </w:r>
      <w:r>
        <w:rPr>
          <w:rFonts w:hint="eastAsia"/>
          <w:shd w:val="clear" w:color="auto" w:fill="auto"/>
        </w:rPr>
        <w:t>发挥“关长联系企业”“</w:t>
      </w:r>
      <w:r>
        <w:rPr>
          <w:shd w:val="clear" w:color="auto" w:fill="auto"/>
        </w:rPr>
        <w:t>关长送政策上门</w:t>
      </w:r>
      <w:r>
        <w:rPr>
          <w:rFonts w:hint="eastAsia"/>
          <w:shd w:val="clear" w:color="auto" w:fill="auto"/>
        </w:rPr>
        <w:t>”和“问题清零”机制</w:t>
      </w:r>
      <w:r>
        <w:rPr>
          <w:shd w:val="clear" w:color="auto" w:fill="auto"/>
        </w:rPr>
        <w:t>作用</w:t>
      </w:r>
      <w:r>
        <w:rPr>
          <w:rFonts w:hint="eastAsia"/>
          <w:shd w:val="clear" w:color="auto" w:fill="auto"/>
        </w:rPr>
        <w:t>，主动对接企业需求，深入中欧班列平台送政策、听意见25次，及时掌握和解决企业通关</w:t>
      </w:r>
      <w:r>
        <w:rPr>
          <w:shd w:val="clear" w:color="auto" w:fill="auto"/>
        </w:rPr>
        <w:t>难点</w:t>
      </w:r>
      <w:r>
        <w:rPr>
          <w:rFonts w:hint="eastAsia"/>
          <w:shd w:val="clear" w:color="auto" w:fill="auto"/>
        </w:rPr>
        <w:t>问题</w:t>
      </w:r>
      <w:r>
        <w:rPr>
          <w:shd w:val="clear" w:color="auto" w:fill="auto"/>
        </w:rPr>
        <w:t>。积极回应外贸企业需求，年内联合云浮海关到云浮市云城区工业和信息化局开展中欧班列系列政策宣讲活动，</w:t>
      </w:r>
      <w:r>
        <w:rPr>
          <w:rFonts w:ascii="Times New Roman" w:eastAsia="方正仿宋_GBK" w:hAnsi="Times New Roman" w:hint="eastAsia"/>
          <w:szCs w:val="32"/>
          <w:shd w:val="clear" w:color="auto" w:fill="auto"/>
        </w:rPr>
        <w:t>围绕“构筑安全高效物流通道”主题详细介绍中欧班列基本情况、海关监管措施</w:t>
      </w:r>
      <w:r>
        <w:rPr>
          <w:rFonts w:ascii="Times New Roman" w:eastAsia="方正仿宋_GBK" w:hAnsi="Times New Roman"/>
          <w:szCs w:val="32"/>
          <w:shd w:val="clear" w:color="auto" w:fill="auto"/>
        </w:rPr>
        <w:t>等</w:t>
      </w:r>
      <w:r>
        <w:rPr>
          <w:rFonts w:ascii="Times New Roman" w:eastAsia="方正仿宋_GBK" w:hAnsi="Times New Roman" w:hint="eastAsia"/>
          <w:szCs w:val="32"/>
          <w:shd w:val="clear" w:color="auto" w:fill="auto"/>
        </w:rPr>
        <w:t>，</w:t>
      </w:r>
      <w:r>
        <w:rPr>
          <w:rFonts w:ascii="Times New Roman" w:eastAsia="方正仿宋_GBK" w:hAnsi="Times New Roman"/>
          <w:szCs w:val="32"/>
          <w:shd w:val="clear" w:color="auto" w:fill="auto"/>
        </w:rPr>
        <w:t>介绍</w:t>
      </w:r>
      <w:r>
        <w:rPr>
          <w:rFonts w:ascii="Times New Roman" w:eastAsia="方正仿宋_GBK" w:hAnsi="Times New Roman" w:hint="eastAsia"/>
          <w:szCs w:val="32"/>
          <w:shd w:val="clear" w:color="auto" w:fill="auto"/>
        </w:rPr>
        <w:t>智慧海关赋能中欧班列、推进海关监管模式创新、建立“</w:t>
      </w:r>
      <w:r>
        <w:rPr>
          <w:rFonts w:ascii="Times New Roman" w:eastAsia="方正仿宋_GBK" w:hAnsi="Times New Roman"/>
          <w:szCs w:val="32"/>
          <w:shd w:val="clear" w:color="auto" w:fill="auto"/>
        </w:rPr>
        <w:t>海</w:t>
      </w:r>
      <w:r>
        <w:rPr>
          <w:rFonts w:ascii="Times New Roman" w:eastAsia="方正仿宋_GBK" w:hAnsi="Times New Roman" w:hint="eastAsia"/>
          <w:szCs w:val="32"/>
          <w:shd w:val="clear" w:color="auto" w:fill="auto"/>
        </w:rPr>
        <w:t>关—铁</w:t>
      </w:r>
      <w:r>
        <w:rPr>
          <w:rFonts w:ascii="Times New Roman" w:eastAsia="方正仿宋_GBK" w:hAnsi="Times New Roman"/>
          <w:szCs w:val="32"/>
          <w:shd w:val="clear" w:color="auto" w:fill="auto"/>
        </w:rPr>
        <w:t>路</w:t>
      </w:r>
      <w:r>
        <w:rPr>
          <w:rFonts w:ascii="Times New Roman" w:eastAsia="方正仿宋_GBK" w:hAnsi="Times New Roman" w:hint="eastAsia"/>
          <w:szCs w:val="32"/>
          <w:shd w:val="clear" w:color="auto" w:fill="auto"/>
        </w:rPr>
        <w:t>—企</w:t>
      </w:r>
      <w:r>
        <w:rPr>
          <w:rFonts w:ascii="Times New Roman" w:eastAsia="方正仿宋_GBK" w:hAnsi="Times New Roman"/>
          <w:szCs w:val="32"/>
          <w:shd w:val="clear" w:color="auto" w:fill="auto"/>
        </w:rPr>
        <w:t>业</w:t>
      </w:r>
      <w:r>
        <w:rPr>
          <w:rFonts w:ascii="Times New Roman" w:eastAsia="方正仿宋_GBK" w:hAnsi="Times New Roman" w:hint="eastAsia"/>
          <w:szCs w:val="32"/>
          <w:shd w:val="clear" w:color="auto" w:fill="auto"/>
        </w:rPr>
        <w:t>”协调合作机制等海关</w:t>
      </w:r>
      <w:r>
        <w:rPr>
          <w:rFonts w:ascii="Times New Roman" w:eastAsia="方正仿宋_GBK" w:hAnsi="Times New Roman"/>
          <w:szCs w:val="32"/>
          <w:shd w:val="clear" w:color="auto" w:fill="auto"/>
        </w:rPr>
        <w:t>系列</w:t>
      </w:r>
      <w:r>
        <w:rPr>
          <w:rFonts w:ascii="Times New Roman" w:eastAsia="方正仿宋_GBK" w:hAnsi="Times New Roman" w:hint="eastAsia"/>
          <w:szCs w:val="32"/>
          <w:shd w:val="clear" w:color="auto" w:fill="auto"/>
        </w:rPr>
        <w:t>支持政策</w:t>
      </w:r>
      <w:r>
        <w:rPr>
          <w:rFonts w:ascii="Times New Roman" w:eastAsia="方正仿宋_GBK" w:hAnsi="Times New Roman"/>
          <w:szCs w:val="32"/>
          <w:shd w:val="clear" w:color="auto" w:fill="auto"/>
        </w:rPr>
        <w:t>，助力更多粤港澳大湾区优质货物搭乘中欧班列出口</w:t>
      </w:r>
      <w:r>
        <w:rPr>
          <w:rFonts w:ascii="Times New Roman" w:eastAsia="方正仿宋_GBK" w:hAnsi="Times New Roman" w:hint="eastAsia"/>
          <w:szCs w:val="32"/>
          <w:shd w:val="clear" w:color="auto" w:fill="auto"/>
        </w:rPr>
        <w:t>。</w:t>
      </w:r>
    </w:p>
    <w:p>
      <w:pPr>
        <w:pStyle w:val="41"/>
        <w:shd w:val="clear" w:color="auto" w:fill="auto"/>
        <w:adjustRightInd w:val="0"/>
        <w:snapToGrid w:val="0"/>
        <w:ind w:firstLineChars="200" w:firstLine="624"/>
        <w:rPr>
          <w:rFonts w:eastAsia="方正楷体_GBK" w:hint="eastAsia"/>
          <w:b/>
          <w:bCs/>
          <w:shd w:val="clear" w:color="auto" w:fill="auto"/>
        </w:rPr>
      </w:pPr>
      <w:r>
        <w:rPr>
          <w:rFonts w:eastAsia="方正楷体_GBK" w:hint="eastAsia"/>
          <w:b/>
          <w:bCs/>
          <w:shd w:val="clear" w:color="auto" w:fill="auto"/>
        </w:rPr>
        <w:t>（二）目前存在问题。</w:t>
      </w:r>
    </w:p>
    <w:p>
      <w:pPr>
        <w:pStyle w:val="41"/>
        <w:shd w:val="clear" w:color="auto" w:fill="auto"/>
        <w:adjustRightInd w:val="0"/>
        <w:snapToGrid w:val="0"/>
        <w:ind w:firstLineChars="200" w:firstLine="624"/>
        <w:rPr>
          <w:rFonts w:hint="eastAsia"/>
          <w:shd w:val="clear" w:color="auto" w:fill="auto"/>
        </w:rPr>
      </w:pPr>
      <w:r>
        <w:rPr>
          <w:shd w:val="clear" w:color="auto" w:fill="auto"/>
        </w:rPr>
        <w:t>基层政务公开专区布局有待进一步优化，</w:t>
      </w:r>
      <w:r>
        <w:rPr>
          <w:rFonts w:eastAsia="方正仿宋_GBK" w:cs="方正仿宋_GBK"/>
          <w:bCs/>
          <w:spacing w:val="-4"/>
          <w:kern w:val="2"/>
          <w:sz w:val="32"/>
          <w:szCs w:val="32"/>
          <w:shd w:val="clear" w:color="auto" w:fill="auto"/>
        </w:rPr>
        <w:t>需</w:t>
      </w:r>
      <w:r>
        <w:rPr>
          <w:shd w:val="clear" w:color="auto" w:fill="auto"/>
        </w:rPr>
        <w:t>更好适配企业群众使用需求和业务改革发展需要。</w:t>
      </w:r>
    </w:p>
    <w:p>
      <w:pPr>
        <w:pStyle w:val="41"/>
        <w:shd w:val="clear" w:color="auto" w:fill="auto"/>
        <w:adjustRightInd w:val="0"/>
        <w:snapToGrid w:val="0"/>
        <w:ind w:firstLineChars="200" w:firstLine="624"/>
        <w:rPr>
          <w:rFonts w:eastAsia="方正黑体_GBK" w:cs="楷体_GB2312" w:hint="eastAsia"/>
          <w:bCs/>
          <w:szCs w:val="32"/>
          <w:shd w:val="clear" w:color="auto" w:fill="auto"/>
          <w:lang w:bidi="ar-SA"/>
        </w:rPr>
      </w:pPr>
      <w:r>
        <w:rPr>
          <w:rFonts w:eastAsia="方正黑体_GBK" w:cs="楷体_GB2312" w:hint="eastAsia"/>
          <w:bCs/>
          <w:szCs w:val="32"/>
          <w:shd w:val="clear" w:color="auto" w:fill="auto"/>
          <w:lang w:bidi="ar-SA"/>
        </w:rPr>
        <w:t>六、其他需要报告的事项</w:t>
      </w:r>
      <w:bookmarkEnd w:id="1"/>
    </w:p>
    <w:p>
      <w:pPr>
        <w:pStyle w:val="40"/>
        <w:shd w:val="clear" w:color="auto" w:fill="auto"/>
        <w:adjustRightInd w:val="0"/>
        <w:snapToGrid w:val="0"/>
        <w:ind w:firstLineChars="200" w:firstLine="624"/>
        <w:rPr>
          <w:shd w:val="clear" w:color="auto" w:fill="auto"/>
        </w:rPr>
      </w:pPr>
      <w:r>
        <w:rPr>
          <w:shd w:val="clear" w:color="auto" w:fill="auto"/>
        </w:rPr>
        <w:t>广州车站海关</w:t>
      </w:r>
      <w:r>
        <w:rPr>
          <w:szCs w:val="32"/>
          <w:shd w:val="clear" w:color="auto" w:fill="auto"/>
        </w:rPr>
        <w:t>严格按照《国务院办公厅关于印发〈政府信息公开信息处理费管理办法〉的通知》，规范政府信息公开信息处理费收取工作，</w:t>
      </w:r>
      <w:r>
        <w:rPr>
          <w:shd w:val="clear" w:color="auto" w:fill="auto"/>
        </w:rPr>
        <w:t>2024年未收取政府信息公开信息处理费。</w:t>
      </w:r>
    </w:p>
    <w:p>
      <w:pPr>
        <w:pStyle w:val="16"/>
        <w:shd w:val="clear" w:color="auto" w:fill="auto"/>
        <w:tabs>
          <w:tab w:val="center" w:pos="4153"/>
          <w:tab w:val="right" w:pos="8306"/>
        </w:tabs>
        <w:jc w:val="both"/>
        <w:rPr>
          <w:shd w:val="clear" w:color="auto" w:fill="auto"/>
        </w:rPr>
      </w:pPr>
    </w:p>
    <w:p>
      <w:pPr>
        <w:pStyle w:val="16"/>
        <w:shd w:val="clear" w:color="auto" w:fill="auto"/>
        <w:tabs>
          <w:tab w:val="center" w:pos="4153"/>
          <w:tab w:val="right" w:pos="8306"/>
        </w:tabs>
        <w:jc w:val="both"/>
        <w:rPr>
          <w:shd w:val="clear" w:color="auto" w:fill="auto"/>
        </w:rPr>
      </w:pP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Arial">
    <w:altName w:val="DejaVu Sans"/>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黑体">
    <w:altName w:val="华文细黑"/>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10002FF" w:usb1="4000ACFF" w:usb2="00000009"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- 5 -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- 6 -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F25BEFB"/>
    <w:multiLevelType w:val="singleLevel"/>
    <w:tmpl w:val="EA963CD2"/>
    <w:lvl w:ilvl="0">
      <w:start w:val="1"/>
      <w:numFmt w:val="decimal"/>
      <w:lvlRestart w:val="0"/>
      <w:pStyle w:val="52"/>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rPr>
      <w:rFonts w:ascii="Times New Roman" w:eastAsia="宋体"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szCs w:val="20"/>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widowControl w:val="0"/>
    </w:pPr>
    <w:rPr>
      <w:rFonts w:ascii="宋体" w:eastAsia="宋体" w:cs="Times New Roman"/>
      <w:kern w:val="2"/>
      <w:sz w:val="24"/>
      <w:szCs w:val="20"/>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next w:val="0"/>
    <w:pPr>
      <w:widowControl w:val="0"/>
      <w:spacing w:line="240" w:lineRule="auto"/>
      <w:jc w:val="left"/>
    </w:pPr>
    <w:rPr>
      <w:rFonts w:ascii="宋体" w:eastAsia="宋体" w:cs="Times New Roman"/>
      <w:kern w:val="2"/>
      <w:sz w:val="24"/>
      <w:szCs w:val="21"/>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widowControl w:val="0"/>
    </w:pPr>
    <w:rPr>
      <w:rFonts w:ascii="宋体" w:eastAsia="宋体" w:cs="Times New Roman"/>
      <w:kern w:val="2"/>
      <w:sz w:val="24"/>
      <w:szCs w:val="20"/>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Balloon Text"/>
    <w:basedOn w:val="0"/>
    <w:rPr>
      <w:sz w:val="18"/>
      <w:szCs w:val="18"/>
    </w:rPr>
  </w:style>
  <w:style w:type="paragraph" w:customStyle="1" w:styleId="69">
    <w:name w:val="样式 4 小四"/>
    <w:pPr>
      <w:widowControl w:val="0"/>
    </w:pPr>
    <w:rPr>
      <w:rFonts w:ascii="宋体" w:eastAsia="宋体" w:cs="宋体"/>
      <w:kern w:val="2"/>
      <w:sz w:val="24"/>
      <w:szCs w:val="24"/>
      <w:lang w:val="en-US" w:eastAsia="zh-CN" w:bidi="ar-SA"/>
    </w:rPr>
  </w:style>
  <w:style w:type="paragraph" w:styleId="70">
    <w:name w:val="toc 4"/>
    <w:basedOn w:val="0"/>
    <w:autoRedefine/>
    <w:next w:val="0"/>
    <w:pPr>
      <w:ind w:leftChars="600" w:left="600"/>
    </w:pPr>
  </w:style>
  <w:style w:type="paragraph" w:customStyle="1" w:styleId="71">
    <w:name w:val="样式 1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2">
    <w:name w:val="样式 1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3">
    <w:name w:val="样式 1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4">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6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08">
    <w:name w:val="样式 17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09">
    <w:name w:val="样式 18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10">
    <w:name w:val="样式 1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1">
    <w:name w:val="样式 2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2">
    <w:name w:val="样式 2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3">
    <w:name w:val="样式 2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4">
    <w:name w:val="样式 2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5">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216">
    <w:name w:val="样式 2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7">
    <w:name w:val="样式 2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8">
    <w:name w:val="样式 2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19">
    <w:name w:val="样式 10 磅"/>
    <w:pPr>
      <w:widowControl w:val="0"/>
      <w:jc w:val="both"/>
    </w:pPr>
    <w:rPr>
      <w:rFonts w:ascii="Calibri" w:eastAsia="宋体" w:cs="Calibri" w:hAnsi="Calibri"/>
      <w:kern w:val="2"/>
      <w:sz w:val="21"/>
      <w:szCs w:val="21"/>
      <w:lang w:val="en-US" w:eastAsia="zh-CN" w:bidi="ar-SA"/>
    </w:rPr>
  </w:style>
  <w:style w:type="paragraph" w:customStyle="1" w:styleId="220">
    <w:name w:val="样式 1 10 磅"/>
    <w:pPr>
      <w:widowControl w:val="0"/>
      <w:jc w:val="both"/>
    </w:pPr>
    <w:rPr>
      <w:rFonts w:ascii="Calibri" w:eastAsia="宋体" w:cs="Calibri" w:hAnsi="Calibri"/>
      <w:kern w:val="2"/>
      <w:sz w:val="21"/>
      <w:szCs w:val="21"/>
      <w:lang w:val="en-US" w:eastAsia="zh-CN" w:bidi="ar-SA"/>
    </w:rPr>
  </w:style>
  <w:style w:type="paragraph" w:customStyle="1" w:styleId="221">
    <w:name w:val="样式 2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2">
    <w:name w:val="样式 2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3">
    <w:name w:val="样式 2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4">
    <w:name w:val="样式 3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5">
    <w:name w:val="样式 3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6">
    <w:name w:val="样式 3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7">
    <w:name w:val="样式 3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28">
    <w:name w:val="样式 2 10 磅"/>
    <w:pPr>
      <w:widowControl w:val="0"/>
      <w:jc w:val="both"/>
    </w:pPr>
    <w:rPr>
      <w:rFonts w:ascii="Calibri" w:eastAsia="宋体" w:cs="Arial" w:hAnsi="Calibri"/>
      <w:kern w:val="2"/>
      <w:sz w:val="21"/>
      <w:szCs w:val="22"/>
      <w:lang w:val="en-US" w:eastAsia="zh-CN" w:bidi="ar-SA"/>
    </w:rPr>
  </w:style>
  <w:style w:type="paragraph" w:customStyle="1" w:styleId="229">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230">
    <w:name w:val="样式 3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1">
    <w:name w:val="样式 3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2">
    <w:name w:val="样式 3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3">
    <w:name w:val="样式 8 小四"/>
    <w:pPr>
      <w:widowControl w:val="0"/>
    </w:pPr>
    <w:rPr>
      <w:rFonts w:ascii="宋体" w:eastAsia="宋体" w:cs="宋体"/>
      <w:kern w:val="2"/>
      <w:sz w:val="24"/>
      <w:szCs w:val="24"/>
      <w:lang w:val="en-US" w:eastAsia="zh-CN" w:bidi="ar-SA"/>
    </w:rPr>
  </w:style>
  <w:style w:type="paragraph" w:customStyle="1" w:styleId="234">
    <w:name w:val="样式 3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5">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3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7">
    <w:name w:val="样式 3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8">
    <w:name w:val="样式 4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39">
    <w:name w:val="样式 4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240">
    <w:name w:val="annotation text"/>
    <w:basedOn w:val="0"/>
    <w:pPr>
      <w:jc w:val="left"/>
    </w:pPr>
  </w:style>
  <w:style w:type="paragraph" w:styleId="241">
    <w:name w:val="annotation subject"/>
    <w:basedOn w:val="240"/>
    <w:next w:val="240"/>
    <w:rPr>
      <w:b/>
    </w:rPr>
  </w:style>
  <w:style w:type="paragraph" w:customStyle="1" w:styleId="242">
    <w:name w:val="样式 4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43">
    <w:name w:val="样式 43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44">
    <w:name w:val="样式 44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45">
    <w:name w:val="样式 9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 w:type="paragraph" w:customStyle="1" w:styleId="246">
    <w:name w:val="样式 4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47">
    <w:name w:val="样式 4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1">
    <w:name w:val="样式 10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2850</TotalTime>
  <Application>Yozo_Office</Application>
  <Pages>7</Pages>
  <Words>2801</Words>
  <Characters>2902</Characters>
  <Lines>451</Lines>
  <Paragraphs>314</Paragraphs>
  <CharactersWithSpaces>2902</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63</cp:revision>
  <cp:lastPrinted>2020-01-22T00:43:00Z</cp:lastPrinted>
  <dcterms:created xsi:type="dcterms:W3CDTF">2008-05-09T07:46:00Z</dcterms:created>
  <dcterms:modified xsi:type="dcterms:W3CDTF">2025-01-26T07:53:56Z</dcterms:modified>
</cp:coreProperties>
</file>